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1877" w14:textId="3EB53163" w:rsidR="00C63BF1" w:rsidRDefault="00B607CE">
      <w:pPr>
        <w:pStyle w:val="2"/>
        <w:spacing w:before="312" w:after="312" w:line="600" w:lineRule="exact"/>
        <w:jc w:val="both"/>
        <w:rPr>
          <w:rFonts w:hint="eastAsia"/>
          <w:b w:val="0"/>
          <w:bCs/>
          <w:kern w:val="0"/>
        </w:rPr>
      </w:pPr>
      <w:bookmarkStart w:id="0" w:name="_Hlk529882176"/>
      <w:r>
        <w:rPr>
          <w:b w:val="0"/>
          <w:bCs/>
          <w:kern w:val="0"/>
        </w:rPr>
        <w:t>附件</w:t>
      </w:r>
      <w:r>
        <w:rPr>
          <w:rFonts w:hint="eastAsia"/>
          <w:b w:val="0"/>
          <w:bCs/>
          <w:kern w:val="0"/>
        </w:rPr>
        <w:t>1</w:t>
      </w:r>
    </w:p>
    <w:p w14:paraId="6D85759A" w14:textId="77777777" w:rsidR="00C63BF1" w:rsidRDefault="00B607CE">
      <w:pPr>
        <w:pStyle w:val="af0"/>
        <w:spacing w:before="0" w:after="0" w:line="720" w:lineRule="exact"/>
        <w:rPr>
          <w:rFonts w:ascii="方正小标宋简体" w:hAnsi="宋体" w:hint="eastAsia"/>
          <w:b w:val="0"/>
        </w:rPr>
      </w:pPr>
      <w:r>
        <w:rPr>
          <w:rFonts w:ascii="方正小标宋简体" w:hAnsi="宋体" w:hint="eastAsia"/>
          <w:b w:val="0"/>
        </w:rPr>
        <w:t>工程建设项目绿色建造施工水平评价办法</w:t>
      </w:r>
    </w:p>
    <w:p w14:paraId="33FD961F" w14:textId="77777777" w:rsidR="00C63BF1" w:rsidRDefault="00C63BF1" w:rsidP="00172FCD">
      <w:pPr>
        <w:pStyle w:val="af6"/>
        <w:ind w:firstLine="640"/>
        <w:rPr>
          <w:rFonts w:hint="eastAsia"/>
        </w:rPr>
      </w:pPr>
    </w:p>
    <w:p w14:paraId="227502CC" w14:textId="77777777" w:rsidR="00C63BF1" w:rsidRDefault="00B607CE">
      <w:pPr>
        <w:pStyle w:val="2"/>
        <w:spacing w:beforeLines="0" w:afterLines="0" w:line="600" w:lineRule="exact"/>
        <w:rPr>
          <w:rFonts w:hint="eastAsia"/>
        </w:rPr>
      </w:pPr>
      <w:r>
        <w:rPr>
          <w:rFonts w:hint="eastAsia"/>
        </w:rPr>
        <w:t xml:space="preserve">第一章  总 </w:t>
      </w:r>
      <w:r>
        <w:t xml:space="preserve"> </w:t>
      </w:r>
      <w:r>
        <w:rPr>
          <w:rFonts w:hint="eastAsia"/>
        </w:rPr>
        <w:t>则</w:t>
      </w:r>
    </w:p>
    <w:p w14:paraId="7DF91649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为促进工程建设项目绿色建造施工水平的提高，推进全生命周期绿色建造，制定本办法。</w:t>
      </w:r>
    </w:p>
    <w:p w14:paraId="57D8E7FA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>凡具有政府主管部门确认相应资质的</w:t>
      </w:r>
      <w:r>
        <w:rPr>
          <w:rFonts w:ascii="仿宋_GB2312" w:eastAsia="仿宋_GB2312" w:hAnsi="华文仿宋" w:hint="eastAsia"/>
          <w:sz w:val="32"/>
          <w:szCs w:val="32"/>
        </w:rPr>
        <w:t>工程建设</w:t>
      </w:r>
      <w:r>
        <w:rPr>
          <w:rFonts w:ascii="仿宋_GB2312" w:eastAsia="仿宋_GB2312" w:hAnsi="华文仿宋"/>
          <w:sz w:val="32"/>
          <w:szCs w:val="32"/>
        </w:rPr>
        <w:t>单位的工程建设项目，均可依据本办法申请工程建设项目绿色建造施工水平评价。</w:t>
      </w:r>
    </w:p>
    <w:p w14:paraId="37484C98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>工程建设项目绿色建造施工水平评价工作由</w:t>
      </w:r>
      <w:r>
        <w:rPr>
          <w:rFonts w:ascii="仿宋_GB2312" w:eastAsia="仿宋_GB2312" w:hAnsi="华文仿宋" w:hint="eastAsia"/>
          <w:sz w:val="32"/>
          <w:szCs w:val="32"/>
        </w:rPr>
        <w:t>中国施工企业管理协会（以下简称“中施企协”）</w:t>
      </w:r>
      <w:r>
        <w:rPr>
          <w:rFonts w:ascii="仿宋_GB2312" w:eastAsia="仿宋_GB2312" w:hAnsi="华文仿宋"/>
          <w:sz w:val="32"/>
          <w:szCs w:val="32"/>
        </w:rPr>
        <w:t>负责，</w:t>
      </w:r>
      <w:r>
        <w:rPr>
          <w:rFonts w:ascii="仿宋_GB2312" w:eastAsia="仿宋_GB2312" w:hAnsi="华文仿宋" w:hint="eastAsia"/>
          <w:sz w:val="32"/>
          <w:szCs w:val="32"/>
        </w:rPr>
        <w:t>绿色建造工作委员会（以下简称“绿建委”）组织实施。</w:t>
      </w:r>
    </w:p>
    <w:p w14:paraId="6BAF36D6" w14:textId="77777777" w:rsidR="00C63BF1" w:rsidRDefault="00B607CE">
      <w:pPr>
        <w:pStyle w:val="2"/>
        <w:spacing w:beforeLines="0" w:afterLines="0" w:line="600" w:lineRule="exact"/>
        <w:rPr>
          <w:rFonts w:hint="eastAsia"/>
        </w:rPr>
      </w:pPr>
      <w:r>
        <w:rPr>
          <w:rFonts w:hint="eastAsia"/>
        </w:rPr>
        <w:t xml:space="preserve">第二章 </w:t>
      </w:r>
      <w:r>
        <w:t xml:space="preserve"> </w:t>
      </w:r>
      <w:r>
        <w:rPr>
          <w:rFonts w:hint="eastAsia"/>
        </w:rPr>
        <w:t>评价范围</w:t>
      </w:r>
    </w:p>
    <w:p w14:paraId="3BD7A4DB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>绿色建造施工水平</w:t>
      </w:r>
      <w:r>
        <w:rPr>
          <w:rFonts w:ascii="仿宋_GB2312" w:eastAsia="仿宋_GB2312" w:hAnsi="华文仿宋" w:hint="eastAsia"/>
          <w:sz w:val="32"/>
          <w:szCs w:val="32"/>
        </w:rPr>
        <w:t>评价包括下列工程：</w:t>
      </w:r>
    </w:p>
    <w:p w14:paraId="5ADC3BCD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（一）工业建设工程；</w:t>
      </w:r>
    </w:p>
    <w:p w14:paraId="4DEF03EF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（二）交通工程；</w:t>
      </w:r>
    </w:p>
    <w:p w14:paraId="6576C735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（三）水利工程； </w:t>
      </w:r>
    </w:p>
    <w:p w14:paraId="18C51EDD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（四）通信工程；</w:t>
      </w:r>
    </w:p>
    <w:p w14:paraId="5D3DB942" w14:textId="32C7B15F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（五）市政</w:t>
      </w:r>
      <w:r w:rsidR="00DF61F5">
        <w:rPr>
          <w:rFonts w:ascii="仿宋_GB2312" w:eastAsia="仿宋_GB2312" w:hAnsi="华文仿宋" w:hint="eastAsia"/>
          <w:sz w:val="32"/>
          <w:szCs w:val="32"/>
        </w:rPr>
        <w:t>公用</w:t>
      </w:r>
      <w:r>
        <w:rPr>
          <w:rFonts w:ascii="仿宋_GB2312" w:eastAsia="仿宋_GB2312" w:hAnsi="华文仿宋" w:hint="eastAsia"/>
          <w:sz w:val="32"/>
          <w:szCs w:val="32"/>
        </w:rPr>
        <w:t>工程；</w:t>
      </w:r>
    </w:p>
    <w:p w14:paraId="23F902ED" w14:textId="6CC7CED9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（六）建筑工程</w:t>
      </w:r>
      <w:r w:rsidR="00A531E3">
        <w:rPr>
          <w:rFonts w:ascii="仿宋_GB2312" w:eastAsia="仿宋_GB2312" w:hAnsi="华文仿宋" w:hint="eastAsia"/>
          <w:sz w:val="32"/>
          <w:szCs w:val="32"/>
        </w:rPr>
        <w:t>；</w:t>
      </w:r>
    </w:p>
    <w:p w14:paraId="57161F01" w14:textId="7536D2DA" w:rsidR="00A531E3" w:rsidRDefault="00A531E3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（七）生态工程。</w:t>
      </w:r>
    </w:p>
    <w:p w14:paraId="22F211CB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下列工程不列入评价范围：</w:t>
      </w:r>
    </w:p>
    <w:p w14:paraId="3BA16E77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lastRenderedPageBreak/>
        <w:t>（一）不符合国家产业政策，使用国家主管部门以及行业明令禁止使用或者淘汰的材料、技术、工艺和设备</w:t>
      </w:r>
      <w:bookmarkStart w:id="1" w:name="_Hlk64971687"/>
      <w:r>
        <w:rPr>
          <w:rFonts w:ascii="仿宋_GB2312" w:eastAsia="仿宋_GB2312" w:hAnsi="华文仿宋" w:hint="eastAsia"/>
          <w:sz w:val="32"/>
          <w:szCs w:val="32"/>
        </w:rPr>
        <w:t>的工程</w:t>
      </w:r>
      <w:bookmarkEnd w:id="1"/>
      <w:r>
        <w:rPr>
          <w:rFonts w:ascii="仿宋_GB2312" w:eastAsia="仿宋_GB2312" w:hAnsi="华文仿宋" w:hint="eastAsia"/>
          <w:sz w:val="32"/>
          <w:szCs w:val="32"/>
        </w:rPr>
        <w:t>；</w:t>
      </w:r>
      <w:r>
        <w:rPr>
          <w:rFonts w:ascii="仿宋_GB2312" w:eastAsia="仿宋_GB2312" w:hAnsi="华文仿宋"/>
          <w:sz w:val="32"/>
          <w:szCs w:val="32"/>
        </w:rPr>
        <w:t xml:space="preserve"> </w:t>
      </w:r>
    </w:p>
    <w:p w14:paraId="3B179D47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（二）由于设计、施工等原因而存在质量、安全隐患、功能性缺陷的工程；</w:t>
      </w:r>
    </w:p>
    <w:p w14:paraId="13F982AA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（三）发生重大违规违纪事件的工程；</w:t>
      </w:r>
    </w:p>
    <w:p w14:paraId="66166D60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（四）工程建设过程中发生过一般及以上质量事故、一般及以上安全事故和环境事故的工程。</w:t>
      </w:r>
    </w:p>
    <w:p w14:paraId="056EEFDE" w14:textId="77777777" w:rsidR="00C63BF1" w:rsidRDefault="00B607CE">
      <w:pPr>
        <w:pStyle w:val="2"/>
        <w:spacing w:beforeLines="0" w:afterLines="0" w:line="600" w:lineRule="exact"/>
        <w:rPr>
          <w:rFonts w:hint="eastAsia"/>
        </w:rPr>
      </w:pPr>
      <w:r>
        <w:rPr>
          <w:rFonts w:hint="eastAsia"/>
        </w:rPr>
        <w:t>第三章  申报条件</w:t>
      </w:r>
    </w:p>
    <w:p w14:paraId="0BF4D205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申报绿色建造施工水平评价的工程应当具备下列条件：</w:t>
      </w:r>
    </w:p>
    <w:p w14:paraId="4A29D066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（一）符合国家倡导的建设生态文明、推进绿色发展的政策法规要求；</w:t>
      </w:r>
    </w:p>
    <w:p w14:paraId="412CB6F1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（二）建设程序合法合规，建设手续齐全；</w:t>
      </w:r>
    </w:p>
    <w:p w14:paraId="6B7305E1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（三）具有工程绿色施工实施策划方案。</w:t>
      </w:r>
    </w:p>
    <w:p w14:paraId="36B569C5" w14:textId="77777777" w:rsidR="00C63BF1" w:rsidRDefault="00B607CE">
      <w:pPr>
        <w:pStyle w:val="2"/>
        <w:spacing w:beforeLines="0" w:afterLines="0" w:line="600" w:lineRule="exact"/>
        <w:rPr>
          <w:rFonts w:hint="eastAsia"/>
        </w:rPr>
      </w:pPr>
      <w:r>
        <w:rPr>
          <w:rFonts w:hint="eastAsia"/>
        </w:rPr>
        <w:t>第四章  申报要求</w:t>
      </w:r>
    </w:p>
    <w:p w14:paraId="68A78D18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申报单位。申报绿色建造施工水平评价的工程可由建设单位、工程总承包单位或施工单位自愿组织申报。</w:t>
      </w:r>
    </w:p>
    <w:p w14:paraId="7EDCCC73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申报时间。工程开工后，主体工程完成前，具备现场检查条件即可申报。 </w:t>
      </w:r>
    </w:p>
    <w:p w14:paraId="779C45D8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推荐单位。推荐单位依据本办法对申报资料进行检查、审核、签署审核意见和推荐等级意见，并出具正式的推荐函。具备推荐资格的单位有：</w:t>
      </w:r>
    </w:p>
    <w:p w14:paraId="4130693A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（一）各行业工程建设协会；</w:t>
      </w:r>
    </w:p>
    <w:p w14:paraId="7941B65A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lastRenderedPageBreak/>
        <w:t>（二）各省、自治区、直辖市及计划单列市建筑业（工程建设）协会；</w:t>
      </w:r>
    </w:p>
    <w:p w14:paraId="68FD8431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（三）经中施企协认定的国务院国资委监督管理的中央企业；</w:t>
      </w:r>
    </w:p>
    <w:p w14:paraId="60C54269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（四）跨行业和跨地区推荐的，绿建委将征求所属行业或所在地推荐单位的意见。</w:t>
      </w:r>
    </w:p>
    <w:p w14:paraId="0A91A498" w14:textId="77777777" w:rsidR="00C63BF1" w:rsidRDefault="00B607CE">
      <w:pPr>
        <w:pStyle w:val="2"/>
        <w:spacing w:beforeLines="0" w:afterLines="0" w:line="600" w:lineRule="exact"/>
        <w:rPr>
          <w:rFonts w:hint="eastAsia"/>
        </w:rPr>
      </w:pPr>
      <w:r>
        <w:rPr>
          <w:rFonts w:hint="eastAsia"/>
        </w:rPr>
        <w:t xml:space="preserve">第五章 </w:t>
      </w:r>
      <w:r>
        <w:t xml:space="preserve"> </w:t>
      </w:r>
      <w:r>
        <w:rPr>
          <w:rFonts w:hint="eastAsia"/>
        </w:rPr>
        <w:t>评价程序</w:t>
      </w:r>
    </w:p>
    <w:p w14:paraId="106404A8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绿建委按申报工程专业从专家库中随机抽取专家，组建专家评审小组。 </w:t>
      </w:r>
    </w:p>
    <w:p w14:paraId="681365AA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专家应具有高级技术职称及</w:t>
      </w:r>
      <w:r>
        <w:rPr>
          <w:rFonts w:ascii="仿宋_GB2312" w:eastAsia="仿宋_GB2312" w:hAnsi="华文仿宋"/>
          <w:sz w:val="32"/>
          <w:szCs w:val="32"/>
        </w:rPr>
        <w:t>10</w:t>
      </w:r>
      <w:r>
        <w:rPr>
          <w:rFonts w:ascii="仿宋_GB2312" w:eastAsia="仿宋_GB2312" w:hAnsi="华文仿宋" w:hint="eastAsia"/>
          <w:sz w:val="32"/>
          <w:szCs w:val="32"/>
        </w:rPr>
        <w:t>年以上的绿色施工或相关领域工作经验，身体健康。</w:t>
      </w:r>
    </w:p>
    <w:p w14:paraId="4B301348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评价程序： </w:t>
      </w:r>
    </w:p>
    <w:p w14:paraId="0E6099E9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（一）资料初评。绿建委对评价申请资料进行合规性审查。</w:t>
      </w:r>
    </w:p>
    <w:p w14:paraId="2AFD3093" w14:textId="304402CD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（二）</w:t>
      </w:r>
      <w:r w:rsidR="00561DE8">
        <w:rPr>
          <w:rFonts w:ascii="仿宋_GB2312" w:eastAsia="仿宋_GB2312" w:hAnsi="华文仿宋" w:hint="eastAsia"/>
          <w:sz w:val="32"/>
          <w:szCs w:val="32"/>
        </w:rPr>
        <w:t>过程</w:t>
      </w:r>
      <w:r>
        <w:rPr>
          <w:rFonts w:ascii="仿宋_GB2312" w:eastAsia="仿宋_GB2312" w:hAnsi="华文仿宋" w:hint="eastAsia"/>
          <w:sz w:val="32"/>
          <w:szCs w:val="32"/>
        </w:rPr>
        <w:t>检查。</w:t>
      </w:r>
    </w:p>
    <w:p w14:paraId="4E3D4255" w14:textId="472537F5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1</w:t>
      </w:r>
      <w:r>
        <w:rPr>
          <w:rFonts w:ascii="仿宋_GB2312" w:eastAsia="仿宋_GB2312" w:hAnsi="华文仿宋"/>
          <w:sz w:val="32"/>
          <w:szCs w:val="32"/>
        </w:rPr>
        <w:t>.</w:t>
      </w:r>
      <w:r>
        <w:rPr>
          <w:rFonts w:ascii="仿宋_GB2312" w:eastAsia="仿宋_GB2312" w:hAnsi="华文仿宋" w:hint="eastAsia"/>
          <w:sz w:val="32"/>
          <w:szCs w:val="32"/>
        </w:rPr>
        <w:t>通过资料初评的工程，绿建委酌期组织专家对工程实际实施情况进行</w:t>
      </w:r>
      <w:r w:rsidR="00561DE8">
        <w:rPr>
          <w:rFonts w:ascii="仿宋_GB2312" w:eastAsia="仿宋_GB2312" w:hAnsi="华文仿宋" w:hint="eastAsia"/>
          <w:sz w:val="32"/>
          <w:szCs w:val="32"/>
        </w:rPr>
        <w:t>过程</w:t>
      </w:r>
      <w:r>
        <w:rPr>
          <w:rFonts w:ascii="仿宋_GB2312" w:eastAsia="仿宋_GB2312" w:hAnsi="华文仿宋" w:hint="eastAsia"/>
          <w:sz w:val="32"/>
          <w:szCs w:val="32"/>
        </w:rPr>
        <w:t>检查。</w:t>
      </w:r>
    </w:p>
    <w:p w14:paraId="1F2682EF" w14:textId="058AF761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>2.</w:t>
      </w:r>
      <w:r>
        <w:rPr>
          <w:rFonts w:ascii="仿宋_GB2312" w:eastAsia="仿宋_GB2312" w:hAnsi="华文仿宋" w:hint="eastAsia"/>
          <w:sz w:val="32"/>
          <w:szCs w:val="32"/>
        </w:rPr>
        <w:t>专家组向绿建委提交</w:t>
      </w:r>
      <w:r w:rsidR="00561DE8">
        <w:rPr>
          <w:rFonts w:ascii="仿宋_GB2312" w:eastAsia="仿宋_GB2312" w:hAnsi="华文仿宋" w:hint="eastAsia"/>
          <w:sz w:val="32"/>
          <w:szCs w:val="32"/>
        </w:rPr>
        <w:t>过程</w:t>
      </w:r>
      <w:r>
        <w:rPr>
          <w:rFonts w:ascii="仿宋_GB2312" w:eastAsia="仿宋_GB2312" w:hAnsi="华文仿宋" w:hint="eastAsia"/>
          <w:sz w:val="32"/>
          <w:szCs w:val="32"/>
        </w:rPr>
        <w:t>检查意见书。</w:t>
      </w:r>
    </w:p>
    <w:p w14:paraId="2379CC50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（三）验收评价。项目在完成竣工验收半年内,提出验收评价申请。</w:t>
      </w:r>
    </w:p>
    <w:p w14:paraId="129FE977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（四）结果审定。绿建委审定评价结果，评价结果为“三星”“二星”“一星”。</w:t>
      </w:r>
    </w:p>
    <w:p w14:paraId="1BCC29E3" w14:textId="77777777" w:rsidR="00C63BF1" w:rsidRDefault="00B607CE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（五）结果公示。在中国施工企业管理协会官方网站上进行为期七天的公示，公示期间社会各界无异议的项目，协会授予级别证书。</w:t>
      </w:r>
    </w:p>
    <w:p w14:paraId="026FB107" w14:textId="77777777" w:rsidR="00C63BF1" w:rsidRDefault="00B607CE">
      <w:pPr>
        <w:pStyle w:val="2"/>
        <w:spacing w:beforeLines="0" w:afterLines="0" w:line="600" w:lineRule="exact"/>
        <w:rPr>
          <w:rFonts w:hint="eastAsia"/>
        </w:rPr>
      </w:pPr>
      <w:r>
        <w:rPr>
          <w:rFonts w:hint="eastAsia"/>
        </w:rPr>
        <w:lastRenderedPageBreak/>
        <w:t xml:space="preserve">第六章 </w:t>
      </w:r>
      <w:r>
        <w:t xml:space="preserve"> </w:t>
      </w:r>
      <w:r>
        <w:rPr>
          <w:rFonts w:hint="eastAsia"/>
        </w:rPr>
        <w:t>工作纪律</w:t>
      </w:r>
    </w:p>
    <w:p w14:paraId="11E6F891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申报单位应当如实提供工程情况和相关资料，出具虚假资料的，取消参评资格，已完成评价的，撤销评价结论。</w:t>
      </w:r>
    </w:p>
    <w:p w14:paraId="64DA8DCB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申报单位应积极配合专家组的现场检查工作，严格执行中央八项规定，不得超规格接待，若有违规行为，视其情节给予批评警告，或取消参评资格。</w:t>
      </w:r>
    </w:p>
    <w:p w14:paraId="2F7EA1A7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专家及中施企协工作人员，要秉公办事，严守秘密，廉洁自律。未经中施企协批准，不得以任何理由、任何身份进行与之有关的非组织活动。对违反相关规定的，视其情节给予批评警告，或者取消相关资格。</w:t>
      </w:r>
    </w:p>
    <w:p w14:paraId="280C55A4" w14:textId="77777777" w:rsidR="00C63BF1" w:rsidRDefault="00B607CE">
      <w:pPr>
        <w:pStyle w:val="2"/>
        <w:spacing w:beforeLines="0" w:afterLines="0" w:line="600" w:lineRule="exact"/>
        <w:rPr>
          <w:rFonts w:hint="eastAsia"/>
        </w:rPr>
      </w:pPr>
      <w:r>
        <w:rPr>
          <w:rFonts w:hint="eastAsia"/>
        </w:rPr>
        <w:t xml:space="preserve">第七章 </w:t>
      </w:r>
      <w:r>
        <w:t xml:space="preserve"> </w:t>
      </w:r>
      <w:r>
        <w:rPr>
          <w:rFonts w:hint="eastAsia"/>
        </w:rPr>
        <w:t xml:space="preserve">附 </w:t>
      </w:r>
      <w:r>
        <w:t xml:space="preserve"> </w:t>
      </w:r>
      <w:r>
        <w:rPr>
          <w:rFonts w:hint="eastAsia"/>
        </w:rPr>
        <w:t>则</w:t>
      </w:r>
    </w:p>
    <w:p w14:paraId="7C3E4379" w14:textId="77777777" w:rsidR="00C63BF1" w:rsidRDefault="00B607CE">
      <w:pPr>
        <w:pStyle w:val="13"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本办法由中国施工企业管理协会负责解释。</w:t>
      </w:r>
    </w:p>
    <w:p w14:paraId="7A153490" w14:textId="0D312E15" w:rsidR="00C63BF1" w:rsidRPr="007D73D2" w:rsidRDefault="00B607CE" w:rsidP="007D73D2">
      <w:pPr>
        <w:pStyle w:val="13"/>
        <w:widowControl/>
        <w:numPr>
          <w:ilvl w:val="0"/>
          <w:numId w:val="1"/>
        </w:numPr>
        <w:tabs>
          <w:tab w:val="left" w:pos="1843"/>
        </w:tabs>
        <w:spacing w:line="600" w:lineRule="exact"/>
        <w:ind w:left="0" w:firstLine="640"/>
        <w:jc w:val="left"/>
        <w:rPr>
          <w:rFonts w:ascii="仿宋_GB2312" w:eastAsia="仿宋_GB2312" w:hAnsi="黑体" w:hint="eastAsia"/>
          <w:sz w:val="28"/>
          <w:szCs w:val="32"/>
        </w:rPr>
      </w:pPr>
      <w:r w:rsidRPr="007D73D2">
        <w:rPr>
          <w:rFonts w:ascii="仿宋_GB2312" w:eastAsia="仿宋_GB2312" w:hAnsi="华文仿宋" w:hint="eastAsia"/>
          <w:sz w:val="32"/>
          <w:szCs w:val="32"/>
        </w:rPr>
        <w:t>本办法自颁布之日起执行。</w:t>
      </w:r>
      <w:bookmarkEnd w:id="0"/>
    </w:p>
    <w:sectPr w:rsidR="00C63BF1" w:rsidRPr="007D73D2" w:rsidSect="007D73D2">
      <w:pgSz w:w="11906" w:h="16838"/>
      <w:pgMar w:top="1440" w:right="1474" w:bottom="1440" w:left="1474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2224" w14:textId="77777777" w:rsidR="00AE10CA" w:rsidRDefault="00AE10CA" w:rsidP="00286F42">
      <w:r>
        <w:separator/>
      </w:r>
    </w:p>
  </w:endnote>
  <w:endnote w:type="continuationSeparator" w:id="0">
    <w:p w14:paraId="505CF174" w14:textId="77777777" w:rsidR="00AE10CA" w:rsidRDefault="00AE10CA" w:rsidP="0028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EA26" w14:textId="77777777" w:rsidR="00AE10CA" w:rsidRDefault="00AE10CA" w:rsidP="00286F42">
      <w:r>
        <w:separator/>
      </w:r>
    </w:p>
  </w:footnote>
  <w:footnote w:type="continuationSeparator" w:id="0">
    <w:p w14:paraId="14D8483D" w14:textId="77777777" w:rsidR="00AE10CA" w:rsidRDefault="00AE10CA" w:rsidP="0028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005"/>
    <w:multiLevelType w:val="multilevel"/>
    <w:tmpl w:val="17BD5005"/>
    <w:lvl w:ilvl="0">
      <w:start w:val="1"/>
      <w:numFmt w:val="chineseCountingThousand"/>
      <w:lvlText w:val="第%1条 "/>
      <w:lvlJc w:val="left"/>
      <w:pPr>
        <w:ind w:left="6800" w:hanging="420"/>
      </w:pPr>
      <w:rPr>
        <w:rFonts w:ascii="黑体" w:eastAsia="黑体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1984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F1"/>
    <w:rsid w:val="00021A09"/>
    <w:rsid w:val="00033B54"/>
    <w:rsid w:val="00060BB9"/>
    <w:rsid w:val="000622E0"/>
    <w:rsid w:val="000719BB"/>
    <w:rsid w:val="0009658F"/>
    <w:rsid w:val="000F7039"/>
    <w:rsid w:val="00144DA7"/>
    <w:rsid w:val="00144DD5"/>
    <w:rsid w:val="00164DF7"/>
    <w:rsid w:val="00165A31"/>
    <w:rsid w:val="00172FCD"/>
    <w:rsid w:val="001C7EC9"/>
    <w:rsid w:val="001D10B8"/>
    <w:rsid w:val="001D1558"/>
    <w:rsid w:val="001D2519"/>
    <w:rsid w:val="001E1BBA"/>
    <w:rsid w:val="001F4EEA"/>
    <w:rsid w:val="00272BFF"/>
    <w:rsid w:val="00286F42"/>
    <w:rsid w:val="00293116"/>
    <w:rsid w:val="003460BD"/>
    <w:rsid w:val="00365334"/>
    <w:rsid w:val="003F5A43"/>
    <w:rsid w:val="003F5C3D"/>
    <w:rsid w:val="0040512A"/>
    <w:rsid w:val="00407CDB"/>
    <w:rsid w:val="00411451"/>
    <w:rsid w:val="00496BA7"/>
    <w:rsid w:val="004A3235"/>
    <w:rsid w:val="00561DE8"/>
    <w:rsid w:val="005A19E9"/>
    <w:rsid w:val="005A258C"/>
    <w:rsid w:val="005A2F65"/>
    <w:rsid w:val="005B1B41"/>
    <w:rsid w:val="00600830"/>
    <w:rsid w:val="00652FF0"/>
    <w:rsid w:val="006737D6"/>
    <w:rsid w:val="006870F0"/>
    <w:rsid w:val="00687B61"/>
    <w:rsid w:val="006A009B"/>
    <w:rsid w:val="006A7071"/>
    <w:rsid w:val="006B71EB"/>
    <w:rsid w:val="006D0D59"/>
    <w:rsid w:val="006D48A5"/>
    <w:rsid w:val="007137F4"/>
    <w:rsid w:val="00714940"/>
    <w:rsid w:val="0072538F"/>
    <w:rsid w:val="00741D5E"/>
    <w:rsid w:val="00764FCB"/>
    <w:rsid w:val="00767534"/>
    <w:rsid w:val="007763DF"/>
    <w:rsid w:val="007960E7"/>
    <w:rsid w:val="007D73D2"/>
    <w:rsid w:val="00847DE4"/>
    <w:rsid w:val="00874CFF"/>
    <w:rsid w:val="008B54A4"/>
    <w:rsid w:val="008B6A54"/>
    <w:rsid w:val="009227A1"/>
    <w:rsid w:val="009241F0"/>
    <w:rsid w:val="00925F52"/>
    <w:rsid w:val="00956FA6"/>
    <w:rsid w:val="009A5413"/>
    <w:rsid w:val="009B546F"/>
    <w:rsid w:val="009C4BE6"/>
    <w:rsid w:val="009E0EB4"/>
    <w:rsid w:val="00A24090"/>
    <w:rsid w:val="00A44A7A"/>
    <w:rsid w:val="00A531E3"/>
    <w:rsid w:val="00A90FA7"/>
    <w:rsid w:val="00AB39F7"/>
    <w:rsid w:val="00AE10CA"/>
    <w:rsid w:val="00B113B1"/>
    <w:rsid w:val="00B242BE"/>
    <w:rsid w:val="00B37AAA"/>
    <w:rsid w:val="00B607CE"/>
    <w:rsid w:val="00B83D0D"/>
    <w:rsid w:val="00BC545D"/>
    <w:rsid w:val="00C402CE"/>
    <w:rsid w:val="00C61971"/>
    <w:rsid w:val="00C63BF1"/>
    <w:rsid w:val="00C94696"/>
    <w:rsid w:val="00CF053B"/>
    <w:rsid w:val="00D5121C"/>
    <w:rsid w:val="00D54A6B"/>
    <w:rsid w:val="00DA3F4B"/>
    <w:rsid w:val="00DB1F37"/>
    <w:rsid w:val="00DB5EE8"/>
    <w:rsid w:val="00DF61F5"/>
    <w:rsid w:val="00DF652A"/>
    <w:rsid w:val="00E14977"/>
    <w:rsid w:val="00E31146"/>
    <w:rsid w:val="00EB63CE"/>
    <w:rsid w:val="00F21C65"/>
    <w:rsid w:val="00F31144"/>
    <w:rsid w:val="00F82187"/>
    <w:rsid w:val="00FA2FEA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4E60F"/>
  <w15:docId w15:val="{827A2D51-65AA-420B-B16A-B21030CA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Lines="100" w:afterLines="100" w:line="560" w:lineRule="exact"/>
      <w:jc w:val="center"/>
      <w:outlineLvl w:val="1"/>
    </w:pPr>
    <w:rPr>
      <w:rFonts w:ascii="黑体" w:eastAsia="黑体" w:hAnsi="黑体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a5"/>
    <w:uiPriority w:val="99"/>
    <w:unhideWhenUsed/>
    <w:qFormat/>
    <w:rPr>
      <w:rFonts w:ascii="宋体"/>
      <w:sz w:val="18"/>
      <w:szCs w:val="18"/>
    </w:rPr>
  </w:style>
  <w:style w:type="paragraph" w:styleId="a6">
    <w:name w:val="Body Text Indent"/>
    <w:basedOn w:val="a"/>
    <w:link w:val="a7"/>
    <w:qFormat/>
    <w:pPr>
      <w:tabs>
        <w:tab w:val="left" w:pos="1289"/>
      </w:tabs>
      <w:spacing w:line="240" w:lineRule="atLeast"/>
      <w:ind w:firstLine="560"/>
    </w:pPr>
    <w:rPr>
      <w:rFonts w:ascii="仿宋_GB2312" w:eastAsia="仿宋_GB2312" w:hAnsi="Times New Roman"/>
      <w:kern w:val="0"/>
      <w:sz w:val="28"/>
      <w:szCs w:val="24"/>
    </w:rPr>
  </w:style>
  <w:style w:type="paragraph" w:styleId="a8">
    <w:name w:val="Plain Text"/>
    <w:basedOn w:val="a"/>
    <w:link w:val="a9"/>
    <w:qFormat/>
    <w:rPr>
      <w:rFonts w:ascii="宋体" w:hAnsi="Courier New"/>
      <w:szCs w:val="20"/>
    </w:rPr>
  </w:style>
  <w:style w:type="paragraph" w:styleId="aa">
    <w:name w:val="Balloon Text"/>
    <w:basedOn w:val="a"/>
    <w:link w:val="ab"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11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120" w:line="740" w:lineRule="exact"/>
      <w:jc w:val="center"/>
      <w:outlineLvl w:val="0"/>
    </w:pPr>
    <w:rPr>
      <w:rFonts w:ascii="等线 Light" w:eastAsia="方正小标宋简体" w:hAnsi="等线 Light"/>
      <w:b/>
      <w:bCs/>
      <w:sz w:val="44"/>
      <w:szCs w:val="32"/>
    </w:rPr>
  </w:style>
  <w:style w:type="character" w:styleId="af2">
    <w:name w:val="page number"/>
    <w:basedOn w:val="a0"/>
    <w:qFormat/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11">
    <w:name w:val="页脚 字符1"/>
    <w:link w:val="ac"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7">
    <w:name w:val="正文文本缩进 字符"/>
    <w:link w:val="a6"/>
    <w:qFormat/>
    <w:rPr>
      <w:rFonts w:ascii="仿宋_GB2312" w:eastAsia="仿宋_GB2312" w:hAnsi="Times New Roman" w:cs="Times New Roman"/>
      <w:sz w:val="28"/>
      <w:szCs w:val="24"/>
    </w:rPr>
  </w:style>
  <w:style w:type="character" w:customStyle="1" w:styleId="a9">
    <w:name w:val="纯文本 字符"/>
    <w:link w:val="a8"/>
    <w:qFormat/>
    <w:rPr>
      <w:rFonts w:ascii="宋体" w:hAnsi="Courier New"/>
      <w:kern w:val="2"/>
      <w:sz w:val="21"/>
    </w:rPr>
  </w:style>
  <w:style w:type="character" w:customStyle="1" w:styleId="ab">
    <w:name w:val="批注框文本 字符"/>
    <w:link w:val="aa"/>
    <w:uiPriority w:val="99"/>
    <w:semiHidden/>
    <w:qFormat/>
    <w:rPr>
      <w:kern w:val="2"/>
      <w:sz w:val="18"/>
      <w:szCs w:val="18"/>
    </w:rPr>
  </w:style>
  <w:style w:type="character" w:customStyle="1" w:styleId="30">
    <w:name w:val="标题 3 字符"/>
    <w:link w:val="3"/>
    <w:uiPriority w:val="9"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20">
    <w:name w:val="标题 2 字符"/>
    <w:link w:val="2"/>
    <w:uiPriority w:val="9"/>
    <w:qFormat/>
    <w:rPr>
      <w:rFonts w:ascii="黑体" w:eastAsia="黑体" w:hAnsi="黑体"/>
      <w:b/>
      <w:kern w:val="2"/>
      <w:sz w:val="32"/>
      <w:szCs w:val="32"/>
    </w:rPr>
  </w:style>
  <w:style w:type="character" w:customStyle="1" w:styleId="af5">
    <w:name w:val="页脚 字符"/>
    <w:uiPriority w:val="99"/>
    <w:qFormat/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f1">
    <w:name w:val="标题 字符"/>
    <w:link w:val="af0"/>
    <w:uiPriority w:val="10"/>
    <w:qFormat/>
    <w:rPr>
      <w:rFonts w:ascii="等线 Light" w:eastAsia="方正小标宋简体" w:hAnsi="等线 Light"/>
      <w:b/>
      <w:bCs/>
      <w:kern w:val="2"/>
      <w:sz w:val="44"/>
      <w:szCs w:val="32"/>
    </w:rPr>
  </w:style>
  <w:style w:type="character" w:customStyle="1" w:styleId="a5">
    <w:name w:val="文档结构图 字符"/>
    <w:link w:val="a4"/>
    <w:uiPriority w:val="99"/>
    <w:semiHidden/>
    <w:qFormat/>
    <w:rPr>
      <w:rFonts w:ascii="宋体"/>
      <w:kern w:val="2"/>
      <w:sz w:val="18"/>
      <w:szCs w:val="18"/>
    </w:rPr>
  </w:style>
  <w:style w:type="paragraph" w:customStyle="1" w:styleId="13">
    <w:name w:val="列表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f6">
    <w:name w:val="我的正文"/>
    <w:basedOn w:val="a"/>
    <w:link w:val="af7"/>
    <w:qFormat/>
    <w:pPr>
      <w:spacing w:line="560" w:lineRule="exact"/>
      <w:ind w:firstLineChars="200" w:firstLine="200"/>
    </w:pPr>
    <w:rPr>
      <w:rFonts w:ascii="&amp;quot" w:eastAsia="仿宋_GB2312" w:hAnsi="&amp;quot" w:cstheme="minorBidi"/>
      <w:color w:val="333333"/>
      <w:sz w:val="32"/>
      <w:szCs w:val="21"/>
    </w:rPr>
  </w:style>
  <w:style w:type="character" w:customStyle="1" w:styleId="af7">
    <w:name w:val="我的正文 字符"/>
    <w:basedOn w:val="a0"/>
    <w:link w:val="af6"/>
    <w:qFormat/>
    <w:rPr>
      <w:rFonts w:ascii="&amp;quot" w:eastAsia="仿宋_GB2312" w:hAnsi="&amp;quot" w:cstheme="minorBidi"/>
      <w:color w:val="333333"/>
      <w:kern w:val="2"/>
      <w:sz w:val="32"/>
      <w:szCs w:val="21"/>
    </w:rPr>
  </w:style>
  <w:style w:type="character" w:styleId="af8">
    <w:name w:val="Strong"/>
    <w:basedOn w:val="a0"/>
    <w:uiPriority w:val="22"/>
    <w:qFormat/>
    <w:rsid w:val="001D10B8"/>
    <w:rPr>
      <w:b/>
      <w:bCs/>
    </w:rPr>
  </w:style>
  <w:style w:type="character" w:styleId="af9">
    <w:name w:val="Unresolved Mention"/>
    <w:basedOn w:val="a0"/>
    <w:uiPriority w:val="99"/>
    <w:semiHidden/>
    <w:unhideWhenUsed/>
    <w:rsid w:val="00DF6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208</Words>
  <Characters>1190</Characters>
  <Application>Microsoft Office Word</Application>
  <DocSecurity>0</DocSecurity>
  <Lines>9</Lines>
  <Paragraphs>2</Paragraphs>
  <ScaleCrop>false</ScaleCrop>
  <Company>WwW.YlmF.CoM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liqiu cui</cp:lastModifiedBy>
  <cp:revision>3</cp:revision>
  <cp:lastPrinted>2024-01-18T01:43:00Z</cp:lastPrinted>
  <dcterms:created xsi:type="dcterms:W3CDTF">2026-01-26T06:30:00Z</dcterms:created>
  <dcterms:modified xsi:type="dcterms:W3CDTF">2026-01-26T06:31:00Z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FC5D789BDFB52DC42EEEDC61C91D8C87</vt:lpwstr>
  </property>
  <property fmtid="{D5CDD505-2E9C-101B-9397-08002B2CF9AE}" pid="3" name="KSOProductBuildVer">
    <vt:lpwstr>2052-11.18.0</vt:lpwstr>
  </property>
</Properties>
</file>